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Teacher Observation Checklist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Political Parties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Formative evidence across the unit. Code: E = emerging, D = developing, P = proficient, X = extending.</w:t>
      </w:r>
    </w:p>
    <w:p>
      <w:pPr>
        <w:spacing w:after="160" w:before="0"/>
      </w:pPr>
      <w:r>
        <w:rPr>
          <w:b w:val="0"/>
          <w:i w:val="0"/>
          <w:sz w:val="22"/>
        </w:rPr>
        <w:t>Class: ____________________     Dates: TBD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448"/>
        <w:gridCol w:w="1368"/>
        <w:gridCol w:w="1440"/>
        <w:gridCol w:w="1440"/>
        <w:gridCol w:w="1440"/>
        <w:gridCol w:w="1368"/>
        <w:gridCol w:w="1368"/>
      </w:tblGrid>
      <w:tr>
        <w:tc>
          <w:tcPr>
            <w:tcW w:type="dxa" w:w="244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Student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Parties and platforms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How government forms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Research skills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Media and sources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Issue judgment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Two Cents talk</w:t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160"/>
      </w:pPr>
    </w:p>
    <w:p>
      <w:pPr>
        <w:spacing w:after="60" w:before="0"/>
      </w:pPr>
      <w:r>
        <w:rPr>
          <w:b/>
          <w:i w:val="0"/>
          <w:sz w:val="22"/>
        </w:rPr>
        <w:t>Anecdotal notes: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